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E5195" w14:textId="77777777" w:rsidR="00FE067E" w:rsidRPr="001A1191" w:rsidRDefault="00CD36CF" w:rsidP="00CC1F3B">
      <w:pPr>
        <w:pStyle w:val="TitlePageOrigin"/>
        <w:rPr>
          <w:color w:val="auto"/>
        </w:rPr>
      </w:pPr>
      <w:r w:rsidRPr="001A1191">
        <w:rPr>
          <w:color w:val="auto"/>
        </w:rPr>
        <w:t>WEST virginia legislature</w:t>
      </w:r>
    </w:p>
    <w:p w14:paraId="328C9DAB" w14:textId="77777777" w:rsidR="00CD36CF" w:rsidRPr="001A1191" w:rsidRDefault="00CD36CF" w:rsidP="00CC1F3B">
      <w:pPr>
        <w:pStyle w:val="TitlePageSession"/>
        <w:rPr>
          <w:color w:val="auto"/>
        </w:rPr>
      </w:pPr>
      <w:r w:rsidRPr="001A1191">
        <w:rPr>
          <w:color w:val="auto"/>
        </w:rPr>
        <w:t>20</w:t>
      </w:r>
      <w:r w:rsidR="00CB1ADC" w:rsidRPr="001A1191">
        <w:rPr>
          <w:color w:val="auto"/>
        </w:rPr>
        <w:t>2</w:t>
      </w:r>
      <w:r w:rsidR="004D36C4" w:rsidRPr="001A1191">
        <w:rPr>
          <w:color w:val="auto"/>
        </w:rPr>
        <w:t>1</w:t>
      </w:r>
      <w:r w:rsidRPr="001A1191">
        <w:rPr>
          <w:color w:val="auto"/>
        </w:rPr>
        <w:t xml:space="preserve"> regular session</w:t>
      </w:r>
    </w:p>
    <w:p w14:paraId="5789691C" w14:textId="77777777" w:rsidR="00CD36CF" w:rsidRPr="001A1191" w:rsidRDefault="009312E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1A1191">
            <w:rPr>
              <w:color w:val="auto"/>
            </w:rPr>
            <w:t>Introduced</w:t>
          </w:r>
        </w:sdtContent>
      </w:sdt>
    </w:p>
    <w:p w14:paraId="4D9235A8" w14:textId="719BDA2A" w:rsidR="00CD36CF" w:rsidRPr="001A1191" w:rsidRDefault="009312E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1A1191">
            <w:rPr>
              <w:color w:val="auto"/>
            </w:rPr>
            <w:t>House</w:t>
          </w:r>
        </w:sdtContent>
      </w:sdt>
      <w:r w:rsidR="00303684" w:rsidRPr="001A1191">
        <w:rPr>
          <w:color w:val="auto"/>
        </w:rPr>
        <w:t xml:space="preserve"> </w:t>
      </w:r>
      <w:r w:rsidR="00CD36CF" w:rsidRPr="001A1191">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2189</w:t>
          </w:r>
        </w:sdtContent>
      </w:sdt>
    </w:p>
    <w:p w14:paraId="7D2149BD" w14:textId="6AA9B9AA" w:rsidR="00CD36CF" w:rsidRPr="001A1191" w:rsidRDefault="00CD36CF" w:rsidP="00CC1F3B">
      <w:pPr>
        <w:pStyle w:val="Sponsors"/>
        <w:rPr>
          <w:color w:val="auto"/>
        </w:rPr>
      </w:pPr>
      <w:r w:rsidRPr="001A1191">
        <w:rPr>
          <w:color w:val="auto"/>
        </w:rPr>
        <w:t>By</w:t>
      </w:r>
      <w:r w:rsidR="007141F7" w:rsidRPr="001A1191">
        <w:rPr>
          <w:color w:val="auto"/>
        </w:rPr>
        <w:t xml:space="preserve"> </w:t>
      </w:r>
      <w:r w:rsidR="002A5ED5" w:rsidRPr="001A1191">
        <w:rPr>
          <w:color w:val="auto"/>
        </w:rPr>
        <w:t>Delegate</w:t>
      </w:r>
      <w:r w:rsidRPr="001A1191">
        <w:rPr>
          <w:color w:val="auto"/>
        </w:rPr>
        <w:t xml:space="preserve"> </w:t>
      </w:r>
      <w:sdt>
        <w:sdtPr>
          <w:rPr>
            <w:color w:val="auto"/>
          </w:rPr>
          <w:tag w:val="Sponsors"/>
          <w:id w:val="1589585889"/>
          <w:placeholder>
            <w:docPart w:val="BC6A277E70A54C5D83F0F91084EB54B0"/>
          </w:placeholder>
          <w:text w:multiLine="1"/>
        </w:sdtPr>
        <w:sdtEndPr/>
        <w:sdtContent>
          <w:r w:rsidR="002B37B0" w:rsidRPr="001A1191">
            <w:rPr>
              <w:color w:val="auto"/>
            </w:rPr>
            <w:t>Rowe</w:t>
          </w:r>
        </w:sdtContent>
      </w:sdt>
    </w:p>
    <w:p w14:paraId="0116E474" w14:textId="33EF9384" w:rsidR="00E831B3" w:rsidRPr="001A1191" w:rsidRDefault="00CD36CF" w:rsidP="00CC1F3B">
      <w:pPr>
        <w:pStyle w:val="References"/>
        <w:rPr>
          <w:color w:val="auto"/>
        </w:rPr>
      </w:pPr>
      <w:r w:rsidRPr="001A1191">
        <w:rPr>
          <w:color w:val="auto"/>
        </w:rPr>
        <w:t>[</w:t>
      </w:r>
      <w:sdt>
        <w:sdtPr>
          <w:rPr>
            <w:color w:val="auto"/>
          </w:rPr>
          <w:tag w:val="References"/>
          <w:id w:val="-1043047873"/>
          <w:placeholder>
            <w:docPart w:val="460D713500284C7FB4932CF3609CC106"/>
          </w:placeholder>
          <w:text w:multiLine="1"/>
        </w:sdtPr>
        <w:sdtEndPr/>
        <w:sdtContent>
          <w:r w:rsidR="009312E0">
            <w:rPr>
              <w:color w:val="auto"/>
            </w:rPr>
            <w:t>Introduced February 10, 2021; Referred to the Committee on Government Organization then Finance</w:t>
          </w:r>
        </w:sdtContent>
      </w:sdt>
      <w:r w:rsidRPr="001A1191">
        <w:rPr>
          <w:color w:val="auto"/>
        </w:rPr>
        <w:t>]</w:t>
      </w:r>
    </w:p>
    <w:p w14:paraId="160EA423" w14:textId="43B4965F" w:rsidR="002B37B0" w:rsidRPr="001A1191" w:rsidRDefault="0000526A" w:rsidP="002B37B0">
      <w:pPr>
        <w:pStyle w:val="TitleSection"/>
        <w:rPr>
          <w:color w:val="auto"/>
        </w:rPr>
      </w:pPr>
      <w:r w:rsidRPr="001A1191">
        <w:rPr>
          <w:color w:val="auto"/>
        </w:rPr>
        <w:lastRenderedPageBreak/>
        <w:t>A BILL</w:t>
      </w:r>
      <w:r w:rsidR="002B37B0" w:rsidRPr="001A1191">
        <w:rPr>
          <w:color w:val="auto"/>
        </w:rPr>
        <w:t xml:space="preserve"> to amend and reenact §6-7-2a of the Code of West Virginia, 1931, as amended, relating to changing the title of the </w:t>
      </w:r>
      <w:r w:rsidR="00B657B4" w:rsidRPr="001A1191">
        <w:rPr>
          <w:color w:val="auto"/>
        </w:rPr>
        <w:t>C</w:t>
      </w:r>
      <w:r w:rsidR="002B37B0" w:rsidRPr="001A1191">
        <w:rPr>
          <w:color w:val="auto"/>
        </w:rPr>
        <w:t xml:space="preserve">ommissioner of Culture and History to the </w:t>
      </w:r>
      <w:r w:rsidR="00B657B4" w:rsidRPr="001A1191">
        <w:rPr>
          <w:color w:val="auto"/>
        </w:rPr>
        <w:t>C</w:t>
      </w:r>
      <w:r w:rsidR="002B37B0" w:rsidRPr="001A1191">
        <w:rPr>
          <w:color w:val="auto"/>
        </w:rPr>
        <w:t xml:space="preserve">urator of Arts, Culture, and History; and to increase the salary of the </w:t>
      </w:r>
      <w:r w:rsidR="00B657B4" w:rsidRPr="001A1191">
        <w:rPr>
          <w:color w:val="auto"/>
        </w:rPr>
        <w:t>c</w:t>
      </w:r>
      <w:r w:rsidR="002B37B0" w:rsidRPr="001A1191">
        <w:rPr>
          <w:color w:val="auto"/>
        </w:rPr>
        <w:t>urator to $95,000.</w:t>
      </w:r>
    </w:p>
    <w:p w14:paraId="4ABB92A1" w14:textId="77777777" w:rsidR="002B37B0" w:rsidRPr="001A1191" w:rsidRDefault="002B37B0" w:rsidP="002B37B0">
      <w:pPr>
        <w:pStyle w:val="EnactingClause"/>
        <w:rPr>
          <w:color w:val="auto"/>
        </w:rPr>
        <w:sectPr w:rsidR="002B37B0" w:rsidRPr="001A1191" w:rsidSect="002A5ED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A1191">
        <w:rPr>
          <w:color w:val="auto"/>
        </w:rPr>
        <w:t>Be it enacted by the Legislature of West Virginia:</w:t>
      </w:r>
    </w:p>
    <w:p w14:paraId="18F50202" w14:textId="77777777" w:rsidR="002B37B0" w:rsidRPr="001A1191" w:rsidRDefault="002B37B0" w:rsidP="002B37B0">
      <w:pPr>
        <w:pStyle w:val="ArticleHeading"/>
        <w:rPr>
          <w:color w:val="auto"/>
        </w:rPr>
      </w:pPr>
      <w:r w:rsidRPr="001A1191">
        <w:rPr>
          <w:color w:val="auto"/>
        </w:rPr>
        <w:t>article 7. compensation and allowances.</w:t>
      </w:r>
    </w:p>
    <w:p w14:paraId="0A5AC033" w14:textId="77777777" w:rsidR="002B37B0" w:rsidRPr="001A1191" w:rsidRDefault="002B37B0" w:rsidP="002B37B0">
      <w:pPr>
        <w:pStyle w:val="SectionHeading"/>
        <w:rPr>
          <w:color w:val="auto"/>
        </w:rPr>
      </w:pPr>
      <w:r w:rsidRPr="001A1191">
        <w:rPr>
          <w:color w:val="auto"/>
        </w:rPr>
        <w:t>§6-7-2a. Terms of certain appointive state officers; appointment; qualifications; powers and salaries of officers.</w:t>
      </w:r>
    </w:p>
    <w:p w14:paraId="568C2437" w14:textId="77777777" w:rsidR="002B37B0" w:rsidRPr="001A1191" w:rsidRDefault="002B37B0" w:rsidP="002B37B0">
      <w:pPr>
        <w:ind w:left="720" w:hanging="720"/>
        <w:jc w:val="both"/>
        <w:outlineLvl w:val="3"/>
        <w:rPr>
          <w:rFonts w:eastAsia="Calibri" w:cs="Arial"/>
          <w:b/>
          <w:color w:val="auto"/>
        </w:rPr>
        <w:sectPr w:rsidR="002B37B0" w:rsidRPr="001A1191" w:rsidSect="002A5ED5">
          <w:type w:val="continuous"/>
          <w:pgSz w:w="12240" w:h="15840"/>
          <w:pgMar w:top="1440" w:right="1440" w:bottom="1440" w:left="1440" w:header="720" w:footer="720" w:gutter="0"/>
          <w:cols w:space="720"/>
          <w:docGrid w:linePitch="360"/>
        </w:sectPr>
      </w:pPr>
    </w:p>
    <w:p w14:paraId="59563AF4" w14:textId="77777777" w:rsidR="002B37B0" w:rsidRPr="001A1191" w:rsidRDefault="002B37B0" w:rsidP="002B37B0">
      <w:pPr>
        <w:pStyle w:val="SectionBody"/>
        <w:rPr>
          <w:color w:val="auto"/>
        </w:rPr>
      </w:pPr>
      <w:r w:rsidRPr="001A1191">
        <w:rPr>
          <w:color w:val="auto"/>
        </w:rPr>
        <w:t>(a) Each of the following appointive state officers named in this subsection shall be appointed by the Governor, by and with the advice and consent of the Senate. Each of the appointive state officers serves at the will and pleasure of the Governor for the term for which the Governor was elected and until the respective state officers’ successors have been appointed and qualified. Each of the appointive state officers are subject to the existing qualifications for holding each respective office and each has and is hereby granted all of the powers and authority and shall perform all of the functions and services heretofore vested in and performed by virtue of existing law respecting each office.</w:t>
      </w:r>
    </w:p>
    <w:p w14:paraId="5C208ED6" w14:textId="77777777" w:rsidR="002B37B0" w:rsidRPr="001A1191" w:rsidRDefault="002B37B0" w:rsidP="002B37B0">
      <w:pPr>
        <w:pStyle w:val="SectionBody"/>
        <w:rPr>
          <w:color w:val="auto"/>
        </w:rPr>
      </w:pPr>
      <w:r w:rsidRPr="001A1191">
        <w:rPr>
          <w:color w:val="auto"/>
        </w:rPr>
        <w:t>The annual salary of each named appointive state officer is as follows:</w:t>
      </w:r>
    </w:p>
    <w:p w14:paraId="68148CAB" w14:textId="77777777" w:rsidR="002B37B0" w:rsidRPr="001A1191" w:rsidRDefault="002B37B0" w:rsidP="002B37B0">
      <w:pPr>
        <w:ind w:firstLine="720"/>
        <w:jc w:val="both"/>
        <w:rPr>
          <w:rFonts w:eastAsia="Calibri" w:cs="Arial"/>
          <w:color w:val="auto"/>
        </w:rPr>
      </w:pPr>
      <w:r w:rsidRPr="001A1191">
        <w:rPr>
          <w:rFonts w:eastAsia="Calibri" w:cs="Arial"/>
          <w:color w:val="auto"/>
        </w:rPr>
        <w:t xml:space="preserve">Commissioner, Division of Highways, $92,500; Commissioner, Division of Corrections and Rehabilitation, $90,000; Director, Division of Natural Resources, $75,000; Superintendent, State Police, $85,000; Commissioner, Division of Financial Institutions, $75,000; </w:t>
      </w:r>
      <w:r w:rsidRPr="001A1191">
        <w:rPr>
          <w:rFonts w:eastAsia="Calibri" w:cs="Arial"/>
          <w:strike/>
          <w:color w:val="auto"/>
        </w:rPr>
        <w:t>Commissioner, Division of Culture and History, $65,000</w:t>
      </w:r>
      <w:r w:rsidRPr="001A1191">
        <w:rPr>
          <w:rFonts w:eastAsia="Calibri" w:cs="Arial"/>
          <w:color w:val="auto"/>
        </w:rPr>
        <w:t xml:space="preserve"> </w:t>
      </w:r>
      <w:r w:rsidRPr="001A1191">
        <w:rPr>
          <w:rFonts w:eastAsia="Calibri" w:cs="Arial"/>
          <w:color w:val="auto"/>
          <w:u w:val="single"/>
        </w:rPr>
        <w:t>Curator of Arts, Culture, and History, $95,000;</w:t>
      </w:r>
      <w:r w:rsidRPr="001A1191">
        <w:rPr>
          <w:rFonts w:eastAsia="Calibri" w:cs="Arial"/>
          <w:color w:val="auto"/>
        </w:rPr>
        <w:t xml:space="preserve"> Commissioner, Alcohol Beverage Control Commission, $75,000; Commissioner, Division of Motor Vehicles, $75,000; Director, Human Rights Commission, $55,000; Commissioner, Division of Labor, $70,000; Chairperson, Board of Parole, $55,000; members, Board of Parole, $50,000; members, Employment Security Review Board, $17,000; and Commissioner, Workforce West Virginia, $75,000. Secretaries of the departments shall be paid an annual salary as follows: Health and Human Resources, $95,000: </w:t>
      </w:r>
      <w:r w:rsidRPr="001A1191">
        <w:rPr>
          <w:rFonts w:eastAsia="Calibri" w:cs="Arial"/>
          <w:i/>
          <w:color w:val="auto"/>
        </w:rPr>
        <w:t>Provided,</w:t>
      </w:r>
      <w:r w:rsidRPr="001A1191">
        <w:rPr>
          <w:rFonts w:eastAsia="Calibri" w:cs="Arial"/>
          <w:color w:val="auto"/>
        </w:rPr>
        <w:t xml:space="preserve"> That effective July 1, 2013, the Secretary of the Department of Health and Human Resources shall be paid an annual salary not to exceed $175,000; Transportation, $95,000: </w:t>
      </w:r>
      <w:r w:rsidRPr="001A1191">
        <w:rPr>
          <w:rFonts w:eastAsia="Calibri" w:cs="Arial"/>
          <w:i/>
          <w:color w:val="auto"/>
        </w:rPr>
        <w:t>Provided, however,</w:t>
      </w:r>
      <w:r w:rsidRPr="001A1191">
        <w:rPr>
          <w:rFonts w:eastAsia="Calibri" w:cs="Arial"/>
          <w:color w:val="auto"/>
        </w:rPr>
        <w:t xml:space="preserve"> That if the same person is serving as both the Secretary of Transportation and the Commissioner of Highways, he or she shall be paid $120,000; Revenue, $95,000; Military Affairs and Public Safety, $95,000; Administration, $95,000; Education and the Arts, $95,000; Commerce, $95,000; Veterans’ Assistance, $95,000; and Environmental Protection, $95,000: </w:t>
      </w:r>
      <w:r w:rsidRPr="001A1191">
        <w:rPr>
          <w:rFonts w:eastAsia="Calibri" w:cs="Arial"/>
          <w:i/>
          <w:color w:val="auto"/>
        </w:rPr>
        <w:t>Provided further,</w:t>
      </w:r>
      <w:r w:rsidRPr="001A1191">
        <w:rPr>
          <w:rFonts w:eastAsia="Calibri" w:cs="Arial"/>
          <w:color w:val="auto"/>
        </w:rPr>
        <w:t xml:space="preserve"> That any officer specified in this subsection whose salary is increased by more than $5,000 as a result of the amendment and reenactment of this section during the 2011 regular session of the Legislature shall be paid the salary increase in increments of $5,000 per fiscal year beginning July 1, 2011, up to the maximum salary provided in this subsection.</w:t>
      </w:r>
    </w:p>
    <w:p w14:paraId="77656FA8" w14:textId="77777777" w:rsidR="002B37B0" w:rsidRPr="001A1191" w:rsidRDefault="002B37B0" w:rsidP="002B37B0">
      <w:pPr>
        <w:ind w:firstLine="720"/>
        <w:jc w:val="both"/>
        <w:rPr>
          <w:rFonts w:eastAsia="Calibri" w:cs="Arial"/>
          <w:color w:val="auto"/>
        </w:rPr>
      </w:pPr>
      <w:r w:rsidRPr="001A1191">
        <w:rPr>
          <w:rFonts w:eastAsia="Calibri" w:cs="Arial"/>
          <w:color w:val="auto"/>
        </w:rPr>
        <w:t>(b) Each of the state officers named in this subsection shall continue to be appointed in the manner prescribed in this code and shall be paid an annual salary as follows:</w:t>
      </w:r>
    </w:p>
    <w:p w14:paraId="097983AF" w14:textId="77777777" w:rsidR="002B37B0" w:rsidRPr="001A1191" w:rsidRDefault="002B37B0" w:rsidP="002B37B0">
      <w:pPr>
        <w:ind w:firstLine="720"/>
        <w:jc w:val="both"/>
        <w:rPr>
          <w:rFonts w:eastAsia="Calibri" w:cs="Arial"/>
          <w:color w:val="auto"/>
        </w:rPr>
      </w:pPr>
      <w:r w:rsidRPr="001A1191">
        <w:rPr>
          <w:rFonts w:eastAsia="Calibri" w:cs="Arial"/>
          <w:color w:val="auto"/>
        </w:rPr>
        <w:t>Director, Board of Risk and Insurance Management, $80,000; Director, Division of Rehabilitation Services, $70,000; Director, Division of Personnel, $70,000; Executive Director, Educational Broadcasting Authority, $75,000; Secretary, Library Commission, $72,000; Director, Geological and Economic Survey, $75,000; Executive Director, Prosecuting Attorneys Institute, $80,000; Executive Director, Public Defender Services, $70,000; Commissioner, Bureau of Senior Services, $75,000; Executive Director, Women’s Commission, $45,000; Director, Hospital Finance Authority, $35,000; member, Racing Commission, $12,000; Chairman, Public Service Commission, $85,000; members, Public Service Commission, $85,000; Director, Division of Forestry, $75,000; and Executive Director of the Health Care Authority, $80,000.</w:t>
      </w:r>
    </w:p>
    <w:p w14:paraId="15BD8999" w14:textId="77777777" w:rsidR="002B37B0" w:rsidRPr="001A1191" w:rsidRDefault="002B37B0" w:rsidP="002B37B0">
      <w:pPr>
        <w:ind w:firstLine="720"/>
        <w:jc w:val="both"/>
        <w:rPr>
          <w:rFonts w:eastAsia="Calibri" w:cs="Arial"/>
          <w:color w:val="auto"/>
        </w:rPr>
      </w:pPr>
      <w:r w:rsidRPr="001A1191">
        <w:rPr>
          <w:rFonts w:eastAsia="Calibri" w:cs="Arial"/>
          <w:color w:val="auto"/>
        </w:rPr>
        <w:t>(c) Each of the following appointive state officers named in this subsection shall be appointed by the Governor, by and with the advice and consent of the Senate. Each of the appointive state officers serves at the will and pleasure of the Governor for the term for which the Governor was elected and until the respective state officers’ successors have been appointed and qualified. Each of the appointive state officers are subject to the existing qualifications for holding each respective office and each has and is hereby granted all of the powers and authority and shall perform all of the functions and services heretofore vested in and performed by virtue of existing law respecting each office.</w:t>
      </w:r>
    </w:p>
    <w:p w14:paraId="23546ED4" w14:textId="77777777" w:rsidR="002B37B0" w:rsidRPr="001A1191" w:rsidRDefault="002B37B0" w:rsidP="002B37B0">
      <w:pPr>
        <w:ind w:firstLine="720"/>
        <w:jc w:val="both"/>
        <w:rPr>
          <w:rFonts w:eastAsia="Calibri" w:cs="Arial"/>
          <w:color w:val="auto"/>
        </w:rPr>
      </w:pPr>
      <w:r w:rsidRPr="001A1191">
        <w:rPr>
          <w:rFonts w:eastAsia="Calibri" w:cs="Arial"/>
          <w:color w:val="auto"/>
        </w:rPr>
        <w:t>The annual salary of each named appointive state officer shall be as follows:</w:t>
      </w:r>
    </w:p>
    <w:p w14:paraId="792C6FFD" w14:textId="77777777" w:rsidR="002B37B0" w:rsidRPr="001A1191" w:rsidRDefault="002B37B0" w:rsidP="002B37B0">
      <w:pPr>
        <w:ind w:firstLine="720"/>
        <w:jc w:val="both"/>
        <w:rPr>
          <w:rFonts w:eastAsia="Calibri" w:cs="Arial"/>
          <w:color w:val="auto"/>
        </w:rPr>
      </w:pPr>
      <w:r w:rsidRPr="001A1191">
        <w:rPr>
          <w:rFonts w:eastAsia="Calibri" w:cs="Arial"/>
          <w:color w:val="auto"/>
        </w:rPr>
        <w:t>Commissioner, State Tax Division, $92,500; Insurance Commissioner, $92,500; Director, Lottery Commission, $92,500; Director, Division of Homeland Security and Emergency Management, $65,000; and Adjutant General, $125,000.</w:t>
      </w:r>
    </w:p>
    <w:p w14:paraId="38D126DC" w14:textId="77777777" w:rsidR="002B37B0" w:rsidRPr="001A1191" w:rsidRDefault="002B37B0" w:rsidP="002B37B0">
      <w:pPr>
        <w:ind w:firstLine="720"/>
        <w:jc w:val="both"/>
        <w:rPr>
          <w:rFonts w:eastAsia="Calibri" w:cs="Arial"/>
          <w:color w:val="auto"/>
        </w:rPr>
      </w:pPr>
      <w:r w:rsidRPr="001A1191">
        <w:rPr>
          <w:rFonts w:eastAsia="Calibri" w:cs="Arial"/>
          <w:color w:val="auto"/>
        </w:rPr>
        <w:t>(d) No increase in the salary of any appointive state officer pursuant to this section may be paid until and unless the appointive state officer has first filed with the State Auditor and the Legislative Auditor a sworn statement, on a form to be prescribed by the Attorney General, certifying that his or her spending unit is in compliance with any general law providing for a salary increase for his or her employees. The Attorney General shall prepare and distribute the form to the affected spending units.</w:t>
      </w:r>
    </w:p>
    <w:p w14:paraId="4ACC99C4" w14:textId="77777777" w:rsidR="002B37B0" w:rsidRPr="001A1191" w:rsidRDefault="002B37B0" w:rsidP="002B37B0">
      <w:pPr>
        <w:pStyle w:val="Note"/>
        <w:rPr>
          <w:color w:val="auto"/>
        </w:rPr>
      </w:pPr>
    </w:p>
    <w:p w14:paraId="2633D7DC" w14:textId="77777777" w:rsidR="002B37B0" w:rsidRPr="001A1191" w:rsidRDefault="002B37B0" w:rsidP="002B37B0">
      <w:pPr>
        <w:pStyle w:val="Note"/>
        <w:rPr>
          <w:color w:val="auto"/>
        </w:rPr>
      </w:pPr>
      <w:r w:rsidRPr="001A1191">
        <w:rPr>
          <w:color w:val="auto"/>
        </w:rPr>
        <w:t xml:space="preserve">NOTE: The purpose of this bill is to alter the title of the Commissioner of the Division of Culture and History to the Curator of Arts, Culture, and History and to increase the salary to $95,000. </w:t>
      </w:r>
    </w:p>
    <w:p w14:paraId="2DECDCBA" w14:textId="6CE3C2EC" w:rsidR="002B37B0" w:rsidRPr="001A1191" w:rsidRDefault="002B37B0" w:rsidP="002B37B0">
      <w:pPr>
        <w:pStyle w:val="Note"/>
        <w:rPr>
          <w:color w:val="auto"/>
        </w:rPr>
      </w:pPr>
      <w:r w:rsidRPr="001A1191">
        <w:rPr>
          <w:color w:val="auto"/>
        </w:rPr>
        <w:t>Strike-throughs indicate language that would be stricken from a heading or the present law</w:t>
      </w:r>
      <w:r w:rsidR="00B657B4" w:rsidRPr="001A1191">
        <w:rPr>
          <w:color w:val="auto"/>
        </w:rPr>
        <w:t>,</w:t>
      </w:r>
      <w:r w:rsidRPr="001A1191">
        <w:rPr>
          <w:color w:val="auto"/>
        </w:rPr>
        <w:t xml:space="preserve"> and underscoring indicates new language that would be added.</w:t>
      </w:r>
    </w:p>
    <w:p w14:paraId="1EE2F8B5" w14:textId="695B4789" w:rsidR="006865E9" w:rsidRPr="001A1191" w:rsidRDefault="006865E9" w:rsidP="00CC1F3B">
      <w:pPr>
        <w:pStyle w:val="Note"/>
        <w:rPr>
          <w:color w:val="auto"/>
        </w:rPr>
      </w:pPr>
    </w:p>
    <w:sectPr w:rsidR="006865E9" w:rsidRPr="001A1191" w:rsidSect="002A5ED5">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3C469" w14:textId="77777777" w:rsidR="005A3DAE" w:rsidRPr="00B844FE" w:rsidRDefault="005A3DAE" w:rsidP="00B844FE">
      <w:r>
        <w:separator/>
      </w:r>
    </w:p>
  </w:endnote>
  <w:endnote w:type="continuationSeparator" w:id="0">
    <w:p w14:paraId="6E6620F1"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4017397"/>
      <w:docPartObj>
        <w:docPartGallery w:val="Page Numbers (Bottom of Page)"/>
        <w:docPartUnique/>
      </w:docPartObj>
    </w:sdtPr>
    <w:sdtEndPr/>
    <w:sdtContent>
      <w:p w14:paraId="5EA0C647" w14:textId="77777777" w:rsidR="002B37B0" w:rsidRPr="00B844FE" w:rsidRDefault="002B37B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8E38721" w14:textId="77777777" w:rsidR="002B37B0" w:rsidRDefault="002B37B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6146479"/>
      <w:docPartObj>
        <w:docPartGallery w:val="Page Numbers (Bottom of Page)"/>
        <w:docPartUnique/>
      </w:docPartObj>
    </w:sdtPr>
    <w:sdtEndPr>
      <w:rPr>
        <w:noProof/>
      </w:rPr>
    </w:sdtEndPr>
    <w:sdtContent>
      <w:p w14:paraId="15AA76F2" w14:textId="77777777" w:rsidR="002B37B0" w:rsidRDefault="002B37B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80C015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9BCC28"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7435A1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97A6D" w14:textId="77777777" w:rsidR="005A3DAE" w:rsidRPr="00B844FE" w:rsidRDefault="005A3DAE" w:rsidP="00B844FE">
      <w:r>
        <w:separator/>
      </w:r>
    </w:p>
  </w:footnote>
  <w:footnote w:type="continuationSeparator" w:id="0">
    <w:p w14:paraId="4E1B765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48698" w14:textId="77777777" w:rsidR="002B37B0" w:rsidRPr="00B844FE" w:rsidRDefault="009312E0">
    <w:pPr>
      <w:pStyle w:val="Header"/>
    </w:pPr>
    <w:sdt>
      <w:sdtPr>
        <w:id w:val="713930599"/>
        <w:placeholder>
          <w:docPart w:val="543F7F9FAEAE4ECD8FBE26096A4517D4"/>
        </w:placeholder>
        <w:temporary/>
        <w:showingPlcHdr/>
        <w15:appearance w15:val="hidden"/>
      </w:sdtPr>
      <w:sdtEndPr/>
      <w:sdtContent>
        <w:r w:rsidR="002B37B0" w:rsidRPr="00B844FE">
          <w:t>[Type here]</w:t>
        </w:r>
      </w:sdtContent>
    </w:sdt>
    <w:r w:rsidR="002B37B0" w:rsidRPr="00B844FE">
      <w:ptab w:relativeTo="margin" w:alignment="left" w:leader="none"/>
    </w:r>
    <w:sdt>
      <w:sdtPr>
        <w:id w:val="1390768077"/>
        <w:placeholder>
          <w:docPart w:val="543F7F9FAEAE4ECD8FBE26096A4517D4"/>
        </w:placeholder>
        <w:temporary/>
        <w:showingPlcHdr/>
        <w15:appearance w15:val="hidden"/>
      </w:sdtPr>
      <w:sdtEndPr/>
      <w:sdtContent>
        <w:r w:rsidR="002B37B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0CB5E" w14:textId="1F287166" w:rsidR="002B37B0" w:rsidRPr="00C33014" w:rsidRDefault="002B37B0" w:rsidP="000573A9">
    <w:pPr>
      <w:pStyle w:val="HeaderStyle"/>
    </w:pPr>
    <w:r>
      <w:t xml:space="preserve">Intr </w:t>
    </w:r>
    <w:sdt>
      <w:sdtPr>
        <w:tag w:val="BNumWH"/>
        <w:id w:val="1529757419"/>
        <w:placeholder>
          <w:docPart w:val="D9D05BF47AA24699AE8E26345C89DA78"/>
        </w:placeholder>
        <w:text/>
      </w:sdtPr>
      <w:sdtEndPr/>
      <w:sdtContent>
        <w:r>
          <w:t>HB</w:t>
        </w:r>
      </w:sdtContent>
    </w:sdt>
    <w:r>
      <w:t xml:space="preserve"> </w:t>
    </w:r>
    <w:r w:rsidRPr="002A0269">
      <w:ptab w:relativeTo="margin" w:alignment="center" w:leader="none"/>
    </w:r>
    <w:r>
      <w:tab/>
    </w:r>
    <w:sdt>
      <w:sdtPr>
        <w:alias w:val="CBD Number"/>
        <w:tag w:val="CBD Number"/>
        <w:id w:val="515040436"/>
        <w:text/>
      </w:sdtPr>
      <w:sdtEndPr/>
      <w:sdtContent>
        <w:r>
          <w:t>2021R1114</w:t>
        </w:r>
      </w:sdtContent>
    </w:sdt>
  </w:p>
  <w:p w14:paraId="0DE688C7" w14:textId="77777777" w:rsidR="002B37B0" w:rsidRPr="00C33014" w:rsidRDefault="002B37B0"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21C61" w14:textId="18D10845" w:rsidR="002B37B0" w:rsidRPr="002A0269" w:rsidRDefault="009312E0" w:rsidP="00CC1F3B">
    <w:pPr>
      <w:pStyle w:val="HeaderStyle"/>
    </w:pPr>
    <w:sdt>
      <w:sdtPr>
        <w:tag w:val="BNumWH"/>
        <w:id w:val="670308208"/>
        <w:placeholder>
          <w:docPart w:val="3CE6BFB98B8E48C390D1D18163A63CA9"/>
        </w:placeholder>
        <w:showingPlcHdr/>
        <w:text/>
      </w:sdtPr>
      <w:sdtEndPr/>
      <w:sdtContent/>
    </w:sdt>
    <w:r w:rsidR="002B37B0">
      <w:t xml:space="preserve"> </w:t>
    </w:r>
    <w:r w:rsidR="002B37B0" w:rsidRPr="002A0269">
      <w:ptab w:relativeTo="margin" w:alignment="center" w:leader="none"/>
    </w:r>
    <w:r w:rsidR="002B37B0">
      <w:tab/>
    </w:r>
    <w:sdt>
      <w:sdtPr>
        <w:alias w:val="CBD Number"/>
        <w:tag w:val="CBD Number"/>
        <w:id w:val="2120487989"/>
        <w:text/>
      </w:sdtPr>
      <w:sdtEndPr/>
      <w:sdtContent>
        <w:r w:rsidR="002B37B0">
          <w:t>2021R1114</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BC30E" w14:textId="77777777" w:rsidR="002A0269" w:rsidRPr="00B844FE" w:rsidRDefault="009312E0">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ED60F" w14:textId="44477F53" w:rsidR="00C33014" w:rsidRPr="00C33014" w:rsidRDefault="00AE48A0" w:rsidP="000573A9">
    <w:pPr>
      <w:pStyle w:val="HeaderStyle"/>
    </w:pPr>
    <w:r>
      <w:t>I</w:t>
    </w:r>
    <w:r w:rsidR="001A66B7">
      <w:t>ntr</w:t>
    </w:r>
    <w:r w:rsidR="002B37B0">
      <w:t xml:space="preserve"> HB</w:t>
    </w:r>
    <w:r w:rsidR="001A66B7">
      <w:t xml:space="preserve"> </w:t>
    </w:r>
    <w:sdt>
      <w:sdtPr>
        <w:tag w:val="BNumWH"/>
        <w:id w:val="138549797"/>
        <w:placeholder>
          <w:docPart w:val="D9D05BF47AA24699AE8E26345C89DA7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2B37B0">
          <w:t>2021R1114</w:t>
        </w:r>
      </w:sdtContent>
    </w:sdt>
  </w:p>
  <w:p w14:paraId="1966CA07"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91D16" w14:textId="54844548" w:rsidR="002A0269" w:rsidRPr="002A0269" w:rsidRDefault="009312E0" w:rsidP="00CC1F3B">
    <w:pPr>
      <w:pStyle w:val="HeaderStyle"/>
    </w:pPr>
    <w:sdt>
      <w:sdtPr>
        <w:tag w:val="BNumWH"/>
        <w:id w:val="-1890952866"/>
        <w:placeholder>
          <w:docPart w:val="3CE6BFB98B8E48C390D1D18163A63CA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B37B0">
          <w:t>2021R1114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6600B"/>
    <w:rsid w:val="001A1191"/>
    <w:rsid w:val="001A66B7"/>
    <w:rsid w:val="001C279E"/>
    <w:rsid w:val="001D459E"/>
    <w:rsid w:val="0027011C"/>
    <w:rsid w:val="00274200"/>
    <w:rsid w:val="00275740"/>
    <w:rsid w:val="002A0269"/>
    <w:rsid w:val="002A5ED5"/>
    <w:rsid w:val="002B0082"/>
    <w:rsid w:val="002B37B0"/>
    <w:rsid w:val="00303684"/>
    <w:rsid w:val="003143F5"/>
    <w:rsid w:val="00314854"/>
    <w:rsid w:val="00367CD8"/>
    <w:rsid w:val="00394191"/>
    <w:rsid w:val="003C51CD"/>
    <w:rsid w:val="004368E0"/>
    <w:rsid w:val="004C13DD"/>
    <w:rsid w:val="004D36C4"/>
    <w:rsid w:val="004E3441"/>
    <w:rsid w:val="00500579"/>
    <w:rsid w:val="005A3DAE"/>
    <w:rsid w:val="005A5366"/>
    <w:rsid w:val="006369EB"/>
    <w:rsid w:val="00637E73"/>
    <w:rsid w:val="006865E9"/>
    <w:rsid w:val="00691F3E"/>
    <w:rsid w:val="00694BFB"/>
    <w:rsid w:val="006A106B"/>
    <w:rsid w:val="006C523D"/>
    <w:rsid w:val="006D4036"/>
    <w:rsid w:val="007141F7"/>
    <w:rsid w:val="007A5259"/>
    <w:rsid w:val="007A7081"/>
    <w:rsid w:val="007D19C3"/>
    <w:rsid w:val="007F1CF5"/>
    <w:rsid w:val="00834EDE"/>
    <w:rsid w:val="008736AA"/>
    <w:rsid w:val="008D275D"/>
    <w:rsid w:val="009312E0"/>
    <w:rsid w:val="00980327"/>
    <w:rsid w:val="00986478"/>
    <w:rsid w:val="009B5557"/>
    <w:rsid w:val="009F1067"/>
    <w:rsid w:val="00A31E01"/>
    <w:rsid w:val="00A527AD"/>
    <w:rsid w:val="00A718CF"/>
    <w:rsid w:val="00AE48A0"/>
    <w:rsid w:val="00AE61BE"/>
    <w:rsid w:val="00B16F25"/>
    <w:rsid w:val="00B24422"/>
    <w:rsid w:val="00B657B4"/>
    <w:rsid w:val="00B66B81"/>
    <w:rsid w:val="00B80C20"/>
    <w:rsid w:val="00B844FE"/>
    <w:rsid w:val="00B86B4F"/>
    <w:rsid w:val="00BA1F84"/>
    <w:rsid w:val="00BC562B"/>
    <w:rsid w:val="00BE4BA4"/>
    <w:rsid w:val="00C33014"/>
    <w:rsid w:val="00C33434"/>
    <w:rsid w:val="00C34869"/>
    <w:rsid w:val="00C42EB6"/>
    <w:rsid w:val="00C85096"/>
    <w:rsid w:val="00CB1ADC"/>
    <w:rsid w:val="00CB20EF"/>
    <w:rsid w:val="00CC1F3B"/>
    <w:rsid w:val="00CD12CB"/>
    <w:rsid w:val="00CD36CF"/>
    <w:rsid w:val="00CF1DCA"/>
    <w:rsid w:val="00D5703D"/>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6CA617"/>
  <w15:chartTrackingRefBased/>
  <w15:docId w15:val="{7888A959-3CC1-4998-886C-CA40A9EC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9D05BF47AA24699AE8E26345C89DA78"/>
        <w:category>
          <w:name w:val="General"/>
          <w:gallery w:val="placeholder"/>
        </w:category>
        <w:types>
          <w:type w:val="bbPlcHdr"/>
        </w:types>
        <w:behaviors>
          <w:behavior w:val="content"/>
        </w:behaviors>
        <w:guid w:val="{6482ACAE-E15F-49DB-9087-2DB1D342DA2E}"/>
      </w:docPartPr>
      <w:docPartBody>
        <w:p w:rsidR="00A64B20" w:rsidRDefault="00A64B20"/>
      </w:docPartBody>
    </w:docPart>
    <w:docPart>
      <w:docPartPr>
        <w:name w:val="3CE6BFB98B8E48C390D1D18163A63CA9"/>
        <w:category>
          <w:name w:val="General"/>
          <w:gallery w:val="placeholder"/>
        </w:category>
        <w:types>
          <w:type w:val="bbPlcHdr"/>
        </w:types>
        <w:behaviors>
          <w:behavior w:val="content"/>
        </w:behaviors>
        <w:guid w:val="{731EF680-0010-4C02-8E68-C570483E454D}"/>
      </w:docPartPr>
      <w:docPartBody>
        <w:p w:rsidR="00A64B20" w:rsidRDefault="00A64B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A64B20"/>
    <w:rsid w:val="00D43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C2430-2289-4BCA-B39A-408C93AC7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2021-02-08T16:12:00Z</dcterms:created>
  <dcterms:modified xsi:type="dcterms:W3CDTF">2021-02-08T16:12:00Z</dcterms:modified>
</cp:coreProperties>
</file>